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41" w:rsidRDefault="00E01241" w:rsidP="00202475">
      <w:pPr>
        <w:jc w:val="center"/>
        <w:rPr>
          <w:b/>
        </w:rPr>
      </w:pPr>
      <w:r>
        <w:rPr>
          <w:b/>
          <w:noProof/>
          <w:lang w:eastAsia="el-GR"/>
        </w:rPr>
        <w:drawing>
          <wp:anchor distT="152400" distB="152400" distL="152400" distR="1524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71650" cy="809625"/>
            <wp:effectExtent l="0" t="0" r="0" b="9525"/>
            <wp:wrapNone/>
            <wp:docPr id="2" name="Εικόνα 2" descr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asted-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241" w:rsidRDefault="00E01241" w:rsidP="00202475">
      <w:pPr>
        <w:jc w:val="center"/>
        <w:rPr>
          <w:b/>
        </w:rPr>
      </w:pPr>
    </w:p>
    <w:p w:rsidR="00AF0BFD" w:rsidRDefault="00AF0BFD" w:rsidP="00202475">
      <w:pPr>
        <w:jc w:val="center"/>
        <w:rPr>
          <w:b/>
        </w:rPr>
      </w:pPr>
    </w:p>
    <w:p w:rsidR="00E01241" w:rsidRDefault="00E01241" w:rsidP="00CB76F6">
      <w:pPr>
        <w:spacing w:after="240" w:line="240" w:lineRule="auto"/>
        <w:jc w:val="center"/>
        <w:rPr>
          <w:b/>
          <w:sz w:val="18"/>
          <w:szCs w:val="18"/>
        </w:rPr>
      </w:pPr>
      <w:r w:rsidRPr="00E01241">
        <w:rPr>
          <w:b/>
          <w:sz w:val="18"/>
          <w:szCs w:val="18"/>
        </w:rPr>
        <w:t xml:space="preserve">ΤΜΗΜΑ </w:t>
      </w:r>
      <w:r>
        <w:rPr>
          <w:b/>
          <w:sz w:val="18"/>
          <w:szCs w:val="18"/>
        </w:rPr>
        <w:t xml:space="preserve">ΟΙΚΟΝΟΜΙΚΗΣ </w:t>
      </w:r>
      <w:r w:rsidRPr="00E01241">
        <w:rPr>
          <w:b/>
          <w:sz w:val="18"/>
          <w:szCs w:val="18"/>
        </w:rPr>
        <w:t>ΠΟΛΙΤΙΚΗΣ</w:t>
      </w:r>
    </w:p>
    <w:p w:rsidR="009A4BDD" w:rsidRPr="009A4BDD" w:rsidRDefault="009A4BDD" w:rsidP="00CB76F6">
      <w:pPr>
        <w:spacing w:after="240" w:line="240" w:lineRule="auto"/>
        <w:jc w:val="center"/>
        <w:rPr>
          <w:b/>
          <w:sz w:val="24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</w:t>
      </w:r>
      <w:r w:rsidRPr="009A4BDD">
        <w:rPr>
          <w:b/>
          <w:sz w:val="24"/>
          <w:szCs w:val="18"/>
        </w:rPr>
        <w:t>10.10.2019</w:t>
      </w:r>
    </w:p>
    <w:p w:rsidR="00DE607C" w:rsidRPr="00202475" w:rsidRDefault="00DE607C" w:rsidP="00202475">
      <w:pPr>
        <w:jc w:val="center"/>
        <w:rPr>
          <w:b/>
        </w:rPr>
      </w:pPr>
      <w:r w:rsidRPr="00202475">
        <w:rPr>
          <w:b/>
        </w:rPr>
        <w:t>ΤΙ ΧΑΝΟΥΝ ΟΙ ΠΟΛΙΤΕΣ ΑΠΟ ΤΗΝ ΟΙΚΟΝΟΜΙΚΗ ΠΟΛΙΤΙΚΗ ΤΗΣ ΝΔ ΓΙΑ ΤΟ 2020</w:t>
      </w:r>
      <w:r w:rsidR="00AF0BFD">
        <w:rPr>
          <w:b/>
        </w:rPr>
        <w:t>.</w:t>
      </w:r>
    </w:p>
    <w:p w:rsidR="008D2475" w:rsidRDefault="00DE607C" w:rsidP="00CB76F6">
      <w:pPr>
        <w:jc w:val="center"/>
        <w:rPr>
          <w:b/>
        </w:rPr>
      </w:pPr>
      <w:r w:rsidRPr="00202475">
        <w:rPr>
          <w:b/>
        </w:rPr>
        <w:t>ΠΟΙΑ ΟΦΕΛΗ ΘΑ ΕΙΧΑΝ ΑΠΟ ΤΗΝ ΟΙΚΟΝΟΜΙΚΗ ΠΟΛΙΤΙΚΗ ΤΟΥ ΣΥΡΙΖΑ</w:t>
      </w:r>
      <w:r w:rsidR="00AF0BFD">
        <w:rPr>
          <w:b/>
        </w:rPr>
        <w:t>.</w:t>
      </w:r>
    </w:p>
    <w:p w:rsidR="00B74DC0" w:rsidRDefault="00B74DC0" w:rsidP="00CB76F6">
      <w:pPr>
        <w:spacing w:after="0" w:line="240" w:lineRule="auto"/>
        <w:jc w:val="both"/>
      </w:pPr>
      <w:r w:rsidRPr="00B74DC0">
        <w:t>Κατηγορούσαν τον ΣΥΡΙΖΑ για 29</w:t>
      </w:r>
      <w:r w:rsidR="00F62994">
        <w:t xml:space="preserve"> «άδικους»</w:t>
      </w:r>
      <w:r>
        <w:t xml:space="preserve"> </w:t>
      </w:r>
      <w:r w:rsidRPr="00B74DC0">
        <w:t>φόρους</w:t>
      </w:r>
      <w:r w:rsidR="00F62994">
        <w:t xml:space="preserve"> και </w:t>
      </w:r>
      <w:r w:rsidR="00E01241">
        <w:t xml:space="preserve">στο κείμενο του προσχεδίου προϋπολογισμού, </w:t>
      </w:r>
      <w:r w:rsidR="00F62994">
        <w:t xml:space="preserve">δεν υπάρχει αναφορά στην κατάργηση </w:t>
      </w:r>
      <w:r w:rsidR="00E01241">
        <w:t>κανενός</w:t>
      </w:r>
      <w:r w:rsidR="00F62994">
        <w:t xml:space="preserve"> από </w:t>
      </w:r>
      <w:r w:rsidR="00660FEF">
        <w:t>αυτούς!</w:t>
      </w:r>
    </w:p>
    <w:p w:rsidR="00E01241" w:rsidRDefault="00E01241" w:rsidP="00CB76F6">
      <w:pPr>
        <w:spacing w:after="0" w:line="240" w:lineRule="auto"/>
        <w:jc w:val="both"/>
      </w:pPr>
    </w:p>
    <w:p w:rsidR="00B74DC0" w:rsidRDefault="00B74DC0" w:rsidP="00CB76F6">
      <w:pPr>
        <w:spacing w:after="0" w:line="240" w:lineRule="auto"/>
        <w:jc w:val="both"/>
      </w:pPr>
      <w:r>
        <w:t>Ο ΣΥΡΙΖΑ από τον Σεπτέμβριο του 2018</w:t>
      </w:r>
      <w:r w:rsidR="00F62994">
        <w:t xml:space="preserve"> (ΔΕΘ)</w:t>
      </w:r>
      <w:r>
        <w:t xml:space="preserve"> δεσμεύτηκε σε συγκεκριμένες μειώσεις φόρων</w:t>
      </w:r>
      <w:r w:rsidR="00DF6A1F">
        <w:t xml:space="preserve">, </w:t>
      </w:r>
      <w:r>
        <w:t>τις οποίες και υλο</w:t>
      </w:r>
      <w:r w:rsidR="00E01241">
        <w:t>ποίησε μέχρι τον Μάιο του 2019, όταν και δεσμεύτηκε σε δεύτερο πακέτο φοροελαφρύνσεων. Με άλλα λόγια,</w:t>
      </w:r>
      <w:r>
        <w:t xml:space="preserve"> μέσα σε 8 μήνες</w:t>
      </w:r>
      <w:r w:rsidR="00E01241">
        <w:t>, κατάφερε και να επιφέρει σημαντικές αλλαγές στη φορολογία, όπως η μείωση του ΕΝΦΙΑ, αλλά και να σχεδιάσει και δεσμευτεί για το 2020</w:t>
      </w:r>
      <w:r>
        <w:t>.</w:t>
      </w:r>
      <w:r w:rsidR="007223BE">
        <w:t xml:space="preserve"> Με αυτό το θετικό προηγούμενο και με βάση το μεσοπρόθεσμο πλαίσιο και τη </w:t>
      </w:r>
      <w:r w:rsidR="00DF6A1F">
        <w:t>σύσταση του ειδικού λογαριασμού (</w:t>
      </w:r>
      <w:r w:rsidR="007223BE">
        <w:t>«</w:t>
      </w:r>
      <w:r w:rsidR="00DF6A1F">
        <w:t>μαξιλάρι</w:t>
      </w:r>
      <w:r w:rsidR="007223BE">
        <w:t>»</w:t>
      </w:r>
      <w:r w:rsidR="00DF6A1F">
        <w:t>)</w:t>
      </w:r>
      <w:r w:rsidR="00E01241">
        <w:t xml:space="preserve">, ο ΣΥΡΙΖΑ είχε δημιουργήσει </w:t>
      </w:r>
      <w:r w:rsidR="00CB76F6">
        <w:t>όλες τις προϋποθέσεις για τις μεγαλύτερες μειώσεις φ</w:t>
      </w:r>
      <w:bookmarkStart w:id="0" w:name="_GoBack"/>
      <w:bookmarkEnd w:id="0"/>
      <w:r w:rsidR="00CB76F6">
        <w:t>όρων από το 2010!</w:t>
      </w:r>
      <w:r w:rsidR="00E01241">
        <w:t xml:space="preserve"> </w:t>
      </w:r>
    </w:p>
    <w:p w:rsidR="00DF6A1F" w:rsidRPr="00B74DC0" w:rsidRDefault="00DF6A1F" w:rsidP="00CB76F6">
      <w:pPr>
        <w:spacing w:after="0" w:line="240" w:lineRule="auto"/>
        <w:jc w:val="both"/>
      </w:pPr>
    </w:p>
    <w:p w:rsidR="00B74DC0" w:rsidRDefault="00B74DC0" w:rsidP="00CB76F6">
      <w:pPr>
        <w:spacing w:after="0" w:line="240" w:lineRule="auto"/>
        <w:jc w:val="both"/>
      </w:pPr>
      <w:r>
        <w:t>Η ΝΔ δεσμεύτηκε</w:t>
      </w:r>
      <w:r w:rsidRPr="00B74DC0">
        <w:t xml:space="preserve"> προεκλογικά σε σ</w:t>
      </w:r>
      <w:r>
        <w:t>υγκεκριμένες φορολοελαφρύνσεις</w:t>
      </w:r>
      <w:r w:rsidR="00E01241">
        <w:t>, αλλά αν απλά διαβάσει κανείς</w:t>
      </w:r>
      <w:r w:rsidR="00F62994">
        <w:t xml:space="preserve"> το </w:t>
      </w:r>
      <w:r w:rsidR="00E01241">
        <w:t>προσχέδιο</w:t>
      </w:r>
      <w:r w:rsidR="00F62994">
        <w:t xml:space="preserve"> του </w:t>
      </w:r>
      <w:r w:rsidR="00E01241">
        <w:t>προϋπολογισμού,</w:t>
      </w:r>
      <w:r w:rsidR="00F62994">
        <w:t xml:space="preserve"> θα δει πως πολλές από αυτές παραπέμφθηκαν στις καλένδες</w:t>
      </w:r>
      <w:r w:rsidR="00CB76F6">
        <w:t>.</w:t>
      </w:r>
    </w:p>
    <w:p w:rsidR="00B74DC0" w:rsidRPr="00B74DC0" w:rsidRDefault="00B74DC0" w:rsidP="00B74DC0">
      <w:pPr>
        <w:spacing w:after="0"/>
        <w:jc w:val="both"/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/>
      </w:tblPr>
      <w:tblGrid>
        <w:gridCol w:w="4219"/>
        <w:gridCol w:w="4303"/>
      </w:tblGrid>
      <w:tr w:rsidR="00DE607C" w:rsidTr="00EE6154">
        <w:trPr>
          <w:trHeight w:val="446"/>
        </w:trPr>
        <w:tc>
          <w:tcPr>
            <w:tcW w:w="4219" w:type="dxa"/>
            <w:shd w:val="clear" w:color="auto" w:fill="C00000"/>
            <w:vAlign w:val="center"/>
          </w:tcPr>
          <w:p w:rsidR="00DE607C" w:rsidRPr="00202475" w:rsidRDefault="00DE607C" w:rsidP="00DF6A1F">
            <w:pPr>
              <w:jc w:val="center"/>
              <w:rPr>
                <w:b/>
              </w:rPr>
            </w:pPr>
            <w:r w:rsidRPr="00202475">
              <w:rPr>
                <w:b/>
              </w:rPr>
              <w:t>ΣΥΡΙΖΑ</w:t>
            </w:r>
          </w:p>
        </w:tc>
        <w:tc>
          <w:tcPr>
            <w:tcW w:w="4303" w:type="dxa"/>
            <w:shd w:val="clear" w:color="auto" w:fill="1F4E79" w:themeFill="accent1" w:themeFillShade="80"/>
            <w:vAlign w:val="center"/>
          </w:tcPr>
          <w:p w:rsidR="00DE607C" w:rsidRPr="00202475" w:rsidRDefault="00DE607C" w:rsidP="00DF6A1F">
            <w:pPr>
              <w:jc w:val="center"/>
              <w:rPr>
                <w:b/>
              </w:rPr>
            </w:pPr>
            <w:r w:rsidRPr="00DF6A1F">
              <w:rPr>
                <w:b/>
                <w:color w:val="FFFFFF" w:themeColor="background1"/>
              </w:rPr>
              <w:t>ΝΔ</w:t>
            </w:r>
          </w:p>
        </w:tc>
      </w:tr>
      <w:tr w:rsidR="00DE607C" w:rsidTr="00EE6154">
        <w:tc>
          <w:tcPr>
            <w:tcW w:w="4219" w:type="dxa"/>
            <w:vAlign w:val="center"/>
          </w:tcPr>
          <w:p w:rsidR="00DE607C" w:rsidRDefault="00DE607C" w:rsidP="00DF6A1F">
            <w:pPr>
              <w:jc w:val="center"/>
            </w:pPr>
            <w:r>
              <w:t>Με βάση το μεσοπρόθεσμο πρόγραμμα και με τη βοήθεια του «μαξιλαριού</w:t>
            </w:r>
            <w:r w:rsidRPr="00CB76F6">
              <w:rPr>
                <w:b/>
              </w:rPr>
              <w:t>», το πλεόνασμα του δημοσίου ΘΑ ΜΕΙΩΝΟΤΑΝ κατά 1%</w:t>
            </w:r>
            <w:r>
              <w:t xml:space="preserve"> και θα διοχετευόταν </w:t>
            </w:r>
            <w:r w:rsidR="00CB76F6">
              <w:t>το 2020</w:t>
            </w:r>
            <w:r w:rsidR="00EE6154" w:rsidRPr="00EE6154">
              <w:t>,</w:t>
            </w:r>
            <w:r w:rsidR="00CB76F6">
              <w:t xml:space="preserve"> </w:t>
            </w:r>
            <w:r>
              <w:t>κατά 75% σε περισσότερες φοροελαφρύνσεις και κατά 25% σε αύξηση των κοινωνικών πολιτικών.</w:t>
            </w:r>
          </w:p>
        </w:tc>
        <w:tc>
          <w:tcPr>
            <w:tcW w:w="4303" w:type="dxa"/>
            <w:vAlign w:val="center"/>
          </w:tcPr>
          <w:p w:rsidR="00DE607C" w:rsidRDefault="00DE607C" w:rsidP="00EE6154">
            <w:pPr>
              <w:jc w:val="center"/>
            </w:pPr>
            <w:r>
              <w:t xml:space="preserve">Η ΝΔ δεν προχωρά σε </w:t>
            </w:r>
            <w:r w:rsidR="00DF6A1F">
              <w:t>οποιαδήποτε</w:t>
            </w:r>
            <w:r>
              <w:t xml:space="preserve"> διεκδ</w:t>
            </w:r>
            <w:r w:rsidR="00DF6A1F">
              <w:t>ίκηση για μείωση πλεονασμάτων!</w:t>
            </w:r>
            <w:r w:rsidR="00EE6154" w:rsidRPr="00EE6154">
              <w:br/>
            </w:r>
            <w:r>
              <w:t xml:space="preserve">Το ύψος του πλεονάσματος ΠΑΡΑΜΕΝΕΙ ΣΤΟ 3,5%. </w:t>
            </w:r>
          </w:p>
        </w:tc>
      </w:tr>
      <w:tr w:rsidR="00DE607C" w:rsidTr="00EE6154">
        <w:tc>
          <w:tcPr>
            <w:tcW w:w="4219" w:type="dxa"/>
            <w:vAlign w:val="center"/>
          </w:tcPr>
          <w:p w:rsidR="00DE607C" w:rsidRDefault="00202475" w:rsidP="00DF6A1F">
            <w:pPr>
              <w:jc w:val="center"/>
            </w:pPr>
            <w:r>
              <w:t xml:space="preserve">Η </w:t>
            </w:r>
            <w:r w:rsidRPr="00CB76F6">
              <w:rPr>
                <w:b/>
              </w:rPr>
              <w:t>μείωση του ΕΝΦΙΑ</w:t>
            </w:r>
            <w:r>
              <w:t xml:space="preserve"> θα έφτανε για τις μικρές και πολύ μικρές περιουσίες το 50% και μεσοσταθμικά θα άγγιζε το 30%.</w:t>
            </w:r>
          </w:p>
        </w:tc>
        <w:tc>
          <w:tcPr>
            <w:tcW w:w="4303" w:type="dxa"/>
            <w:vAlign w:val="center"/>
          </w:tcPr>
          <w:p w:rsidR="00DE607C" w:rsidRDefault="00202475" w:rsidP="00CB76F6">
            <w:pPr>
              <w:jc w:val="center"/>
            </w:pPr>
            <w:r>
              <w:t>Δεν προβλέπεται καμία περαιτέρω μείωση. Αντίθετα, το όφελος του 2019 θα χαθεί καθώς θα αυξηθούν οι αξίες των ακινήτων</w:t>
            </w:r>
            <w:r w:rsidR="00CB76F6">
              <w:t>.</w:t>
            </w:r>
          </w:p>
        </w:tc>
      </w:tr>
      <w:tr w:rsidR="00DE607C" w:rsidTr="00EE6154">
        <w:tc>
          <w:tcPr>
            <w:tcW w:w="4219" w:type="dxa"/>
            <w:vAlign w:val="center"/>
          </w:tcPr>
          <w:p w:rsidR="00DE607C" w:rsidRDefault="00202475" w:rsidP="00DF6A1F">
            <w:pPr>
              <w:jc w:val="center"/>
            </w:pPr>
            <w:r w:rsidRPr="00CB76F6">
              <w:rPr>
                <w:b/>
              </w:rPr>
              <w:t>Μείωση προκαταβολής φόρου</w:t>
            </w:r>
            <w:r w:rsidRPr="00202475">
              <w:t xml:space="preserve"> στο 50% για φυσικά πρόσωπα και προσωπικές επιχειρήσεις σε 2 δόσεις (2020-2021) και στο 80% για νομικά πρόσωπα</w:t>
            </w:r>
          </w:p>
        </w:tc>
        <w:tc>
          <w:tcPr>
            <w:tcW w:w="4303" w:type="dxa"/>
            <w:vAlign w:val="center"/>
          </w:tcPr>
          <w:p w:rsidR="00DE607C" w:rsidRDefault="00F62994" w:rsidP="00DF6A1F">
            <w:pPr>
              <w:jc w:val="center"/>
            </w:pPr>
            <w:r>
              <w:t>Δεν θα μειωθεί η</w:t>
            </w:r>
            <w:r w:rsidR="00B74DC0">
              <w:t xml:space="preserve"> </w:t>
            </w:r>
            <w:r>
              <w:t>προκαταβολή</w:t>
            </w:r>
            <w:r w:rsidR="00B74DC0">
              <w:t xml:space="preserve"> φόρου</w:t>
            </w:r>
            <w:r>
              <w:t>.</w:t>
            </w:r>
          </w:p>
        </w:tc>
      </w:tr>
      <w:tr w:rsidR="00B74DC0" w:rsidTr="00EE6154">
        <w:tc>
          <w:tcPr>
            <w:tcW w:w="4219" w:type="dxa"/>
            <w:vAlign w:val="center"/>
          </w:tcPr>
          <w:p w:rsidR="00B74DC0" w:rsidRPr="00202475" w:rsidRDefault="00B74DC0" w:rsidP="00DF6A1F">
            <w:pPr>
              <w:jc w:val="center"/>
            </w:pPr>
            <w:r w:rsidRPr="00B74DC0">
              <w:t xml:space="preserve">Αύξηση </w:t>
            </w:r>
            <w:r w:rsidRPr="00CB76F6">
              <w:rPr>
                <w:b/>
              </w:rPr>
              <w:t>συντελεστή αποσβέσεων</w:t>
            </w:r>
            <w:r w:rsidRPr="00B74DC0">
              <w:t xml:space="preserve"> στο 150%</w:t>
            </w:r>
          </w:p>
        </w:tc>
        <w:tc>
          <w:tcPr>
            <w:tcW w:w="4303" w:type="dxa"/>
            <w:vAlign w:val="center"/>
          </w:tcPr>
          <w:p w:rsidR="00B74DC0" w:rsidRDefault="00F62994" w:rsidP="00DF6A1F">
            <w:pPr>
              <w:jc w:val="center"/>
            </w:pPr>
            <w:r>
              <w:t xml:space="preserve">Δεν θα αυξηθεί ο </w:t>
            </w:r>
            <w:r w:rsidR="00B74DC0">
              <w:t>συντελεστή</w:t>
            </w:r>
            <w:r>
              <w:t>ς</w:t>
            </w:r>
            <w:r w:rsidR="00B74DC0">
              <w:t xml:space="preserve"> αποσβέσεων</w:t>
            </w:r>
            <w:r>
              <w:t>.</w:t>
            </w:r>
          </w:p>
        </w:tc>
      </w:tr>
      <w:tr w:rsidR="00DE607C" w:rsidTr="00EE6154">
        <w:tc>
          <w:tcPr>
            <w:tcW w:w="4219" w:type="dxa"/>
            <w:vAlign w:val="center"/>
          </w:tcPr>
          <w:p w:rsidR="00DE607C" w:rsidRPr="00202475" w:rsidRDefault="00202475" w:rsidP="00CB76F6">
            <w:pPr>
              <w:jc w:val="center"/>
            </w:pPr>
            <w:r w:rsidRPr="00202475">
              <w:t xml:space="preserve">Κατάργηση </w:t>
            </w:r>
            <w:r w:rsidRPr="00CB76F6">
              <w:rPr>
                <w:b/>
              </w:rPr>
              <w:t>εισφοράς αλληλεγγύης</w:t>
            </w:r>
            <w:r w:rsidRPr="00202475">
              <w:t xml:space="preserve"> για εισόδημα έως €20.000 και μείωση συντελεστών για μεγαλύτερα εισοδήματα</w:t>
            </w:r>
          </w:p>
        </w:tc>
        <w:tc>
          <w:tcPr>
            <w:tcW w:w="4303" w:type="dxa"/>
            <w:vAlign w:val="center"/>
          </w:tcPr>
          <w:p w:rsidR="00DE607C" w:rsidRPr="00202475" w:rsidRDefault="00F62994" w:rsidP="00DF6A1F">
            <w:pPr>
              <w:jc w:val="center"/>
            </w:pPr>
            <w:r>
              <w:t xml:space="preserve">Δεν θα καταργηθεί η εισφορά </w:t>
            </w:r>
            <w:r w:rsidR="00B74DC0">
              <w:t>αλληλεγγύης</w:t>
            </w:r>
            <w:r>
              <w:t>.</w:t>
            </w:r>
          </w:p>
        </w:tc>
      </w:tr>
      <w:tr w:rsidR="00B74DC0" w:rsidTr="00EE6154">
        <w:tc>
          <w:tcPr>
            <w:tcW w:w="4219" w:type="dxa"/>
            <w:vAlign w:val="center"/>
          </w:tcPr>
          <w:p w:rsidR="00B74DC0" w:rsidRPr="00B74DC0" w:rsidRDefault="00B74DC0" w:rsidP="00DF6A1F">
            <w:pPr>
              <w:jc w:val="center"/>
            </w:pPr>
            <w:r w:rsidRPr="00B74DC0">
              <w:t xml:space="preserve">Μείωση συντελεστή </w:t>
            </w:r>
            <w:r w:rsidRPr="00CB76F6">
              <w:rPr>
                <w:b/>
              </w:rPr>
              <w:t>ΦΠΑ</w:t>
            </w:r>
            <w:r w:rsidRPr="00B74DC0">
              <w:t xml:space="preserve"> από 13% σε 11%</w:t>
            </w:r>
          </w:p>
        </w:tc>
        <w:tc>
          <w:tcPr>
            <w:tcW w:w="4303" w:type="dxa"/>
            <w:vAlign w:val="center"/>
          </w:tcPr>
          <w:p w:rsidR="00B74DC0" w:rsidRDefault="00CB76F6" w:rsidP="00DF6A1F">
            <w:pPr>
              <w:jc w:val="center"/>
            </w:pPr>
            <w:r>
              <w:t xml:space="preserve">Δεν θα μειωθεί ο συντελεστής </w:t>
            </w:r>
            <w:r w:rsidR="00AF0BFD">
              <w:t>ΦΠΑ</w:t>
            </w:r>
          </w:p>
        </w:tc>
      </w:tr>
      <w:tr w:rsidR="00B74DC0" w:rsidTr="00EE6154">
        <w:tc>
          <w:tcPr>
            <w:tcW w:w="4219" w:type="dxa"/>
            <w:vAlign w:val="center"/>
          </w:tcPr>
          <w:p w:rsidR="00B74DC0" w:rsidRPr="00B74DC0" w:rsidRDefault="00B74DC0" w:rsidP="00DF6A1F">
            <w:pPr>
              <w:jc w:val="center"/>
            </w:pPr>
            <w:r w:rsidRPr="00B74DC0">
              <w:t xml:space="preserve">Μείωση </w:t>
            </w:r>
            <w:r w:rsidRPr="00CB76F6">
              <w:rPr>
                <w:b/>
              </w:rPr>
              <w:t>φόρου συνεταιρισμένων αγροτών</w:t>
            </w:r>
          </w:p>
        </w:tc>
        <w:tc>
          <w:tcPr>
            <w:tcW w:w="4303" w:type="dxa"/>
            <w:vAlign w:val="center"/>
          </w:tcPr>
          <w:p w:rsidR="00B74DC0" w:rsidRDefault="00AF0BFD" w:rsidP="00DF6A1F">
            <w:pPr>
              <w:jc w:val="center"/>
            </w:pPr>
            <w:r>
              <w:t>Δεν θα μειωθεί ο φόρος</w:t>
            </w:r>
            <w:r w:rsidR="00CB76F6">
              <w:t xml:space="preserve"> εισοδήματος</w:t>
            </w:r>
          </w:p>
        </w:tc>
      </w:tr>
      <w:tr w:rsidR="00B74DC0" w:rsidTr="00EE6154">
        <w:tc>
          <w:tcPr>
            <w:tcW w:w="4219" w:type="dxa"/>
            <w:vAlign w:val="center"/>
          </w:tcPr>
          <w:p w:rsidR="00B74DC0" w:rsidRPr="00B74DC0" w:rsidRDefault="00B74DC0" w:rsidP="00DF6A1F">
            <w:pPr>
              <w:jc w:val="center"/>
            </w:pPr>
            <w:r w:rsidRPr="00B74DC0">
              <w:t xml:space="preserve">Μείωση </w:t>
            </w:r>
            <w:r w:rsidRPr="00CB76F6">
              <w:rPr>
                <w:b/>
              </w:rPr>
              <w:t>κόστους πετρελαίου θέρμανσης</w:t>
            </w:r>
            <w:r w:rsidRPr="00B74DC0">
              <w:t xml:space="preserve"> για ορεινές περιοχές</w:t>
            </w:r>
          </w:p>
        </w:tc>
        <w:tc>
          <w:tcPr>
            <w:tcW w:w="4303" w:type="dxa"/>
            <w:vAlign w:val="center"/>
          </w:tcPr>
          <w:p w:rsidR="00B74DC0" w:rsidRDefault="00AF0BFD" w:rsidP="00DF6A1F">
            <w:pPr>
              <w:jc w:val="center"/>
            </w:pPr>
            <w:r>
              <w:t>Δεν θα μειωθεί το κόστος στις</w:t>
            </w:r>
            <w:r w:rsidR="00B74DC0">
              <w:t xml:space="preserve"> ορεινές περιοχές</w:t>
            </w:r>
          </w:p>
        </w:tc>
      </w:tr>
      <w:tr w:rsidR="00DE607C" w:rsidTr="00EE6154">
        <w:tc>
          <w:tcPr>
            <w:tcW w:w="4219" w:type="dxa"/>
            <w:vAlign w:val="center"/>
          </w:tcPr>
          <w:p w:rsidR="00DE607C" w:rsidRDefault="00B74DC0" w:rsidP="00660FEF">
            <w:pPr>
              <w:jc w:val="center"/>
            </w:pPr>
            <w:r w:rsidRPr="00B74DC0">
              <w:t xml:space="preserve">Μείωση </w:t>
            </w:r>
            <w:r w:rsidRPr="00CB76F6">
              <w:rPr>
                <w:b/>
              </w:rPr>
              <w:t>φόρου εισοδήματος</w:t>
            </w:r>
            <w:r w:rsidRPr="00B74DC0">
              <w:t xml:space="preserve"> μόνιμων κατοίκων νησιών με πληθυσμό έως 3</w:t>
            </w:r>
            <w:r w:rsidR="00AF0BFD">
              <w:t>.</w:t>
            </w:r>
            <w:r w:rsidRPr="00B74DC0">
              <w:t xml:space="preserve">100 κατοίκους </w:t>
            </w:r>
          </w:p>
        </w:tc>
        <w:tc>
          <w:tcPr>
            <w:tcW w:w="4303" w:type="dxa"/>
            <w:vAlign w:val="center"/>
          </w:tcPr>
          <w:p w:rsidR="00DE607C" w:rsidRDefault="00AF0BFD" w:rsidP="00DF6A1F">
            <w:pPr>
              <w:jc w:val="center"/>
            </w:pPr>
            <w:r>
              <w:t>Δεν θα μειωθεί ο φόρος</w:t>
            </w:r>
            <w:r w:rsidR="00B74DC0">
              <w:t>.</w:t>
            </w:r>
          </w:p>
        </w:tc>
      </w:tr>
      <w:tr w:rsidR="00AF0BFD" w:rsidTr="00EE6154">
        <w:tc>
          <w:tcPr>
            <w:tcW w:w="4219" w:type="dxa"/>
            <w:vAlign w:val="center"/>
          </w:tcPr>
          <w:p w:rsidR="00AF0BFD" w:rsidRPr="00B74DC0" w:rsidRDefault="00660FEF" w:rsidP="00DF6A1F">
            <w:pPr>
              <w:jc w:val="center"/>
            </w:pPr>
            <w:r>
              <w:t>Μ</w:t>
            </w:r>
            <w:r w:rsidR="00AF0BFD" w:rsidRPr="00B74DC0">
              <w:t xml:space="preserve">είωση του </w:t>
            </w:r>
            <w:r w:rsidR="00AF0BFD" w:rsidRPr="00CB76F6">
              <w:rPr>
                <w:b/>
              </w:rPr>
              <w:t>ΕΝΦΙΑ</w:t>
            </w:r>
            <w:r>
              <w:t xml:space="preserve"> μόνιμων κατοίκων</w:t>
            </w:r>
            <w:r w:rsidR="00AF0BFD" w:rsidRPr="00B74DC0">
              <w:t xml:space="preserve"> σε νησιά με πληθυσμό έως 1</w:t>
            </w:r>
            <w:r w:rsidR="00CB76F6">
              <w:t>.</w:t>
            </w:r>
            <w:r w:rsidR="00AF0BFD" w:rsidRPr="00B74DC0">
              <w:t>000 κάτοικους</w:t>
            </w:r>
          </w:p>
        </w:tc>
        <w:tc>
          <w:tcPr>
            <w:tcW w:w="4303" w:type="dxa"/>
            <w:vAlign w:val="center"/>
          </w:tcPr>
          <w:p w:rsidR="00AF0BFD" w:rsidRDefault="00AF0BFD" w:rsidP="00DF6A1F">
            <w:pPr>
              <w:jc w:val="center"/>
            </w:pPr>
            <w:r>
              <w:t>Δεν θα μειωθεί ο ΕΝΦΙΑ.</w:t>
            </w:r>
          </w:p>
        </w:tc>
      </w:tr>
    </w:tbl>
    <w:p w:rsidR="008D2475" w:rsidRPr="004821F4" w:rsidRDefault="008D2475" w:rsidP="004821F4">
      <w:pPr>
        <w:rPr>
          <w:lang w:val="en-US"/>
        </w:rPr>
      </w:pPr>
    </w:p>
    <w:sectPr w:rsidR="008D2475" w:rsidRPr="004821F4" w:rsidSect="004821F4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779"/>
    <w:multiLevelType w:val="hybridMultilevel"/>
    <w:tmpl w:val="A97EC1A6"/>
    <w:lvl w:ilvl="0" w:tplc="DAF21180">
      <w:start w:val="2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839F0"/>
    <w:multiLevelType w:val="hybridMultilevel"/>
    <w:tmpl w:val="640A29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81D5C"/>
    <w:multiLevelType w:val="hybridMultilevel"/>
    <w:tmpl w:val="3078CE46"/>
    <w:lvl w:ilvl="0" w:tplc="04C2F7B2">
      <w:start w:val="28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607C"/>
    <w:rsid w:val="00072985"/>
    <w:rsid w:val="00202475"/>
    <w:rsid w:val="00377B2B"/>
    <w:rsid w:val="00443A9A"/>
    <w:rsid w:val="00464833"/>
    <w:rsid w:val="004821F4"/>
    <w:rsid w:val="00660FEF"/>
    <w:rsid w:val="007223BE"/>
    <w:rsid w:val="00755007"/>
    <w:rsid w:val="008D2475"/>
    <w:rsid w:val="009A4BDD"/>
    <w:rsid w:val="00AF0BFD"/>
    <w:rsid w:val="00B74DC0"/>
    <w:rsid w:val="00BA259B"/>
    <w:rsid w:val="00CB76F6"/>
    <w:rsid w:val="00D45D6E"/>
    <w:rsid w:val="00DE607C"/>
    <w:rsid w:val="00DF6A1F"/>
    <w:rsid w:val="00E01241"/>
    <w:rsid w:val="00EE6154"/>
    <w:rsid w:val="00F6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7C"/>
    <w:pPr>
      <w:ind w:left="720"/>
      <w:contextualSpacing/>
    </w:pPr>
  </w:style>
  <w:style w:type="table" w:styleId="TableGrid">
    <w:name w:val="Table Grid"/>
    <w:basedOn w:val="TableNormal"/>
    <w:uiPriority w:val="39"/>
    <w:rsid w:val="00DE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Ζάννες</dc:creator>
  <cp:keywords/>
  <dc:description/>
  <cp:lastModifiedBy>Alex</cp:lastModifiedBy>
  <cp:revision>6</cp:revision>
  <dcterms:created xsi:type="dcterms:W3CDTF">2019-10-09T13:38:00Z</dcterms:created>
  <dcterms:modified xsi:type="dcterms:W3CDTF">2019-12-05T13:46:00Z</dcterms:modified>
</cp:coreProperties>
</file>